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万载县妇幼保健院500KW分布式屋顶光伏项目询价采购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WT2026-034</w:t>
      </w:r>
      <w:bookmarkStart w:id="15" w:name="_GoBack"/>
      <w:bookmarkEnd w:id="15"/>
      <w:r>
        <w:rPr>
          <w:rFonts w:hint="eastAsia" w:ascii="仿宋_GB2312" w:hAnsi="仿宋_GB2312" w:eastAsia="仿宋_GB2312"/>
          <w:color w:val="000000"/>
          <w:sz w:val="32"/>
          <w:szCs w:val="32"/>
          <w:u w:val="single"/>
          <w:lang w:val="en-US" w:eastAsia="zh-CN"/>
        </w:rPr>
        <w:t xml:space="preserve">万载县妇幼保健院500KW分布式屋顶光伏项目询价采购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4B4ABF"/>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934</Words>
  <Characters>949</Characters>
  <Lines>0</Lines>
  <Paragraphs>0</Paragraphs>
  <TotalTime>0</TotalTime>
  <ScaleCrop>false</ScaleCrop>
  <LinksUpToDate>false</LinksUpToDate>
  <CharactersWithSpaces>1265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2026-02-25T10:01:13Z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