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标准厂房北区10#楼电缆采购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WT2024-135标准厂房北区10#楼电缆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 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2024-09-10T04:33:54Z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