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万载县鹅峰污水处理厂实验室所需设备询价采购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1598" w:leftChars="456" w:hanging="640" w:hangingChars="2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43</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万载县鹅峰污水处理厂</w:t>
      </w:r>
    </w:p>
    <w:p>
      <w:pPr>
        <w:keepNext w:val="0"/>
        <w:keepLines w:val="0"/>
        <w:pageBreakBefore w:val="0"/>
        <w:widowControl w:val="0"/>
        <w:kinsoku/>
        <w:wordWrap/>
        <w:overflowPunct/>
        <w:topLinePunct w:val="0"/>
        <w:autoSpaceDE/>
        <w:autoSpaceDN/>
        <w:bidi w:val="0"/>
        <w:adjustRightInd/>
        <w:snapToGrid w:val="0"/>
        <w:spacing w:line="460" w:lineRule="exact"/>
        <w:ind w:left="1596" w:leftChars="760" w:firstLine="960" w:firstLineChars="3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实验室所需设备询价</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2024-04-02T09:09:15Z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